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68EA2" w14:textId="536D1B8F" w:rsidR="00585FF3" w:rsidRDefault="00585FF3" w:rsidP="00554C96">
      <w:pPr>
        <w:jc w:val="center"/>
        <w:rPr>
          <w:b/>
          <w:bCs/>
          <w:sz w:val="28"/>
          <w:szCs w:val="28"/>
        </w:rPr>
      </w:pPr>
      <w:r>
        <w:rPr>
          <w:b/>
          <w:bCs/>
          <w:sz w:val="28"/>
          <w:szCs w:val="28"/>
        </w:rPr>
        <w:t>P.S. 1.2</w:t>
      </w:r>
    </w:p>
    <w:p w14:paraId="521008E0" w14:textId="59286C7B" w:rsidR="00C94037" w:rsidRDefault="00C94037" w:rsidP="00554C96">
      <w:pPr>
        <w:jc w:val="center"/>
        <w:rPr>
          <w:b/>
          <w:bCs/>
          <w:sz w:val="28"/>
          <w:szCs w:val="28"/>
        </w:rPr>
      </w:pPr>
      <w:r>
        <w:rPr>
          <w:b/>
          <w:bCs/>
          <w:sz w:val="28"/>
          <w:szCs w:val="28"/>
        </w:rPr>
        <w:t>Arms, Conflict and Health</w:t>
      </w:r>
      <w:r w:rsidR="00106EA4">
        <w:rPr>
          <w:b/>
          <w:bCs/>
          <w:sz w:val="28"/>
          <w:szCs w:val="28"/>
        </w:rPr>
        <w:t>:</w:t>
      </w:r>
    </w:p>
    <w:p w14:paraId="598E4111" w14:textId="4ECAB860" w:rsidR="00554C96" w:rsidRPr="00554C96" w:rsidRDefault="00554C96" w:rsidP="00554C96">
      <w:pPr>
        <w:jc w:val="center"/>
        <w:rPr>
          <w:b/>
          <w:bCs/>
          <w:sz w:val="28"/>
          <w:szCs w:val="28"/>
        </w:rPr>
      </w:pPr>
      <w:r>
        <w:rPr>
          <w:b/>
          <w:bCs/>
          <w:sz w:val="28"/>
          <w:szCs w:val="28"/>
        </w:rPr>
        <w:t>AI and the Arms Industry as a Major Commercial  Determinate of Health</w:t>
      </w:r>
    </w:p>
    <w:p w14:paraId="113AA250" w14:textId="77777777" w:rsidR="00554C96" w:rsidRDefault="00554C96" w:rsidP="00554C96"/>
    <w:p w14:paraId="5A0F62CC" w14:textId="0C882440" w:rsidR="009C5CDF" w:rsidRDefault="00554C96" w:rsidP="00554C96">
      <w:r>
        <w:t xml:space="preserve">The merger of artificial intelligence (AI) with the arms industry is fundamentally reshaping warfare, producing weapons that are more lethal, simpler to operate, and deadlier than ever before. This transformation is driven by advances in autonomy, machine learning, and robotics, which are being rapidly integrated into military systems worldwide.  The convergence represents a powerful and increasingly dominant commercial determinant of health (CDoH). The AI-arms nexus does this by actively shaping a global environment where conflict is more likely, more damaging to health infrastructure, and more profitable, thereby directly undermining the conditions required for human health and </w:t>
      </w:r>
      <w:proofErr w:type="spellStart"/>
      <w:r w:rsidR="00904BEE">
        <w:t>well being</w:t>
      </w:r>
      <w:proofErr w:type="spellEnd"/>
      <w:r>
        <w:t>.</w:t>
      </w:r>
      <w:r w:rsidR="00596E99">
        <w:t xml:space="preserve"> </w:t>
      </w:r>
      <w:r w:rsidR="006B0320">
        <w:t xml:space="preserve">(Key reference: </w:t>
      </w:r>
      <w:r w:rsidR="006B0320" w:rsidRPr="006B0320">
        <w:t xml:space="preserve"> The BMJ </w:t>
      </w:r>
      <w:r w:rsidR="0017333E">
        <w:t xml:space="preserve">Series - </w:t>
      </w:r>
      <w:r w:rsidR="006B0320" w:rsidRPr="006B0320">
        <w:t>Weapons, wealth, and health: the arms industry as a commercial determinant of health | The BMJ </w:t>
      </w:r>
      <w:hyperlink r:id="rId5" w:tgtFrame="_blank" w:history="1">
        <w:r w:rsidR="006B0320" w:rsidRPr="006B0320">
          <w:rPr>
            <w:rStyle w:val="Hyperlink"/>
          </w:rPr>
          <w:t>https://share.google/ZqJofQTQgJZzA3XmV</w:t>
        </w:r>
      </w:hyperlink>
      <w:r w:rsidR="0017333E">
        <w:t>)</w:t>
      </w:r>
      <w:r>
        <w:br/>
      </w:r>
      <w:r>
        <w:br/>
        <w:t xml:space="preserve">Five </w:t>
      </w:r>
      <w:r w:rsidR="009C5CDF">
        <w:t>ways</w:t>
      </w:r>
      <w:r w:rsidR="00904BEE">
        <w:t xml:space="preserve"> </w:t>
      </w:r>
      <w:r>
        <w:t>this convergence functions as a CDoH:</w:t>
      </w:r>
      <w:r>
        <w:br/>
      </w:r>
      <w:r>
        <w:br/>
        <w:t>1. Creating and Profiting from Demand for Conflict</w:t>
      </w:r>
      <w:r>
        <w:br/>
      </w:r>
      <w:r>
        <w:br/>
      </w:r>
      <w:r w:rsidRPr="009C5CDF">
        <w:rPr>
          <w:u w:val="single"/>
        </w:rPr>
        <w:t>Business Model</w:t>
      </w:r>
      <w:r>
        <w:t>: The industry's core profit motive depends on the perception of threat and the occurrence of armed conflict. AI-powered weapons are marketed as essential for national security, creating a cycle of innovation, obsolescence, and procurement.</w:t>
      </w:r>
    </w:p>
    <w:p w14:paraId="3963C8C6" w14:textId="77777777" w:rsidR="00904BEE" w:rsidRDefault="00904BEE" w:rsidP="00904BEE">
      <w:pPr>
        <w:rPr>
          <w:u w:val="single"/>
        </w:rPr>
      </w:pPr>
    </w:p>
    <w:p w14:paraId="41346D0D" w14:textId="4C321BDD" w:rsidR="00904BEE" w:rsidRDefault="00554C96" w:rsidP="00904BEE">
      <w:r w:rsidRPr="00904BEE">
        <w:rPr>
          <w:u w:val="single"/>
        </w:rPr>
        <w:t>Health Impact</w:t>
      </w:r>
      <w:r>
        <w:t>: This directly drives the prevalence of conflict, a primary determinant of catastrophic health outcomes. More conflict means more direct mortality, injury, displacement, and the destruction of healthcare systems—as seen in Gaza, where the targeting of hospitals is enabled by AI-driven intelligence and precision.</w:t>
      </w:r>
    </w:p>
    <w:p w14:paraId="5D5E609C" w14:textId="77777777" w:rsidR="00904BEE" w:rsidRDefault="00904BEE" w:rsidP="00904BEE">
      <w:pPr>
        <w:pStyle w:val="ListParagraph"/>
      </w:pPr>
    </w:p>
    <w:p w14:paraId="34B573EC" w14:textId="77777777" w:rsidR="00904BEE" w:rsidRDefault="00554C96" w:rsidP="00904BEE">
      <w:pPr>
        <w:rPr>
          <w:u w:val="single"/>
        </w:rPr>
      </w:pPr>
      <w:r>
        <w:t>2. Shaping Political and Regulatory Environments</w:t>
      </w:r>
      <w:r>
        <w:br/>
      </w:r>
      <w:r>
        <w:br/>
      </w:r>
      <w:r w:rsidRPr="00904BEE">
        <w:rPr>
          <w:u w:val="single"/>
        </w:rPr>
        <w:t>Lobbying &amp; Regulatory Capture</w:t>
      </w:r>
      <w:r>
        <w:t>: Arms and tech companies lobby against meaningful international bans or stringent regulations on autonomous weapons (e.g., weakening proposed treaties at the UN). They frame regulation as an impediment to "innovation" and national security.</w:t>
      </w:r>
      <w:r>
        <w:br/>
      </w:r>
    </w:p>
    <w:p w14:paraId="34BB6DE1" w14:textId="77777777" w:rsidR="008A365F" w:rsidRDefault="00554C96" w:rsidP="00904BEE">
      <w:pPr>
        <w:rPr>
          <w:u w:val="single"/>
        </w:rPr>
      </w:pPr>
      <w:r w:rsidRPr="00904BEE">
        <w:rPr>
          <w:u w:val="single"/>
        </w:rPr>
        <w:t>Health Impact</w:t>
      </w:r>
      <w:r>
        <w:t>: This stymies preventive governance, allowing the proliferation of weapons that international humanitarian law cannot adequately control. The lack of regulation ensures that the health-harming consequences of these weapons (indiscriminate effects, accountability gaps) are not factored into their development or sale, externalizing the costs onto civilians and health systems.</w:t>
      </w:r>
      <w:r>
        <w:br/>
      </w:r>
      <w:r>
        <w:br/>
        <w:t>3. Commodifying and Proliferating Lethal Capabilities</w:t>
      </w:r>
      <w:r>
        <w:br/>
      </w:r>
      <w:r>
        <w:br/>
      </w:r>
      <w:r w:rsidRPr="00904BEE">
        <w:rPr>
          <w:u w:val="single"/>
        </w:rPr>
        <w:t>Democratization of Lethal Force</w:t>
      </w:r>
      <w:r>
        <w:t xml:space="preserve">: By making AI targeting systems and autonomous platforms cheaper, scalable, and easier to use, </w:t>
      </w:r>
      <w:r w:rsidR="009C5CDF">
        <w:t xml:space="preserve">particularly as </w:t>
      </w:r>
      <w:r>
        <w:t>the industry expands its market to non-state actors and marginal states. This turns advanced warfare into an accessible commodity.</w:t>
      </w:r>
      <w:r>
        <w:br/>
      </w:r>
    </w:p>
    <w:p w14:paraId="7E29C1F4" w14:textId="77777777" w:rsidR="008A365F" w:rsidRDefault="00554C96" w:rsidP="00904BEE">
      <w:pPr>
        <w:rPr>
          <w:u w:val="single"/>
        </w:rPr>
      </w:pPr>
      <w:r w:rsidRPr="00904BEE">
        <w:rPr>
          <w:u w:val="single"/>
        </w:rPr>
        <w:t>Health Impact</w:t>
      </w:r>
      <w:r>
        <w:t xml:space="preserve">: This leads to proliferation and longer, more intractable conflicts. </w:t>
      </w:r>
      <w:r w:rsidR="009C5CDF">
        <w:t>For example, i</w:t>
      </w:r>
      <w:r>
        <w:t>n Myanmar and the DRC, the availability of commercial drones and AI kits has intensified violence, increased civilian casualties, and prolonged wars, draining public resources that could fund health, education, and social development.</w:t>
      </w:r>
      <w:r>
        <w:br/>
      </w:r>
      <w:r>
        <w:br/>
        <w:t>4. Externalizing the True Costs onto Health Systems and Societies</w:t>
      </w:r>
      <w:r>
        <w:br/>
      </w:r>
      <w:r>
        <w:br/>
      </w:r>
      <w:r w:rsidRPr="00904BEE">
        <w:rPr>
          <w:u w:val="single"/>
        </w:rPr>
        <w:t>Privatizing Profit, Socializing Harm</w:t>
      </w:r>
      <w:r>
        <w:t>: The immense profits from selling AI-arms systems are privatized, while the full health, environmental, and societal costs are borne by public health systems and humanitarian organizations.</w:t>
      </w:r>
      <w:r>
        <w:br/>
      </w:r>
    </w:p>
    <w:p w14:paraId="24929ECD" w14:textId="15732A48" w:rsidR="009C5CDF" w:rsidRDefault="00554C96" w:rsidP="00904BEE">
      <w:r w:rsidRPr="00904BEE">
        <w:rPr>
          <w:u w:val="single"/>
        </w:rPr>
        <w:t>Health Impact</w:t>
      </w:r>
      <w:r>
        <w:t>: This manifests as:</w:t>
      </w:r>
      <w:r>
        <w:br/>
        <w:t>· Direct Resource Diversion: National budgets shift from public health and social spending to military AI procurement.</w:t>
      </w:r>
      <w:r>
        <w:br/>
        <w:t>· Overwhelmed Health Systems: As seen in all case studies, health infrastructure is targeted or collapses under the strain of mass casualties, leading to secondary deaths from preventable and treatable conditions.</w:t>
      </w:r>
      <w:r>
        <w:br/>
        <w:t>· Intergenerational Health Burdens: Societies bear the long-term costs of trauma, disability, and a lost "healthy workforce" for decades.</w:t>
      </w:r>
      <w:r>
        <w:br/>
      </w:r>
      <w:r>
        <w:br/>
        <w:t>5. Utilizing Corporate Determinants of Data and Knowledge</w:t>
      </w:r>
      <w:r>
        <w:br/>
      </w:r>
      <w:r>
        <w:br/>
      </w:r>
      <w:r w:rsidRPr="00904BEE">
        <w:rPr>
          <w:u w:val="single"/>
        </w:rPr>
        <w:t>Data-Driven Warfare &amp; Opacity</w:t>
      </w:r>
      <w:r>
        <w:t>: The industry relies on vast data collection (surveillance, biometrics, battlefield data) to train its AI systems. This data is a proprietary asset, and the algorithms are "black boxes."</w:t>
      </w:r>
      <w:r>
        <w:br/>
      </w:r>
      <w:r w:rsidRPr="00904BEE">
        <w:rPr>
          <w:u w:val="single"/>
        </w:rPr>
        <w:t>Health Impact</w:t>
      </w:r>
      <w:r>
        <w:t>: This creates a profound power asymmetry and accountability vacuum. Communities subjected to AI-driven strikes cannot interrogate the data or logic that labeled them a target. This undermines the right to life, remedy, and reparations—key social determinants of health and justice.</w:t>
      </w:r>
      <w:r>
        <w:br/>
      </w:r>
      <w:r>
        <w:br/>
        <w:t>Conclusion: A Fundamental Threat to Health Equity</w:t>
      </w:r>
      <w:r>
        <w:br/>
      </w:r>
      <w:r>
        <w:br/>
        <w:t>The convergence of AI and the arms industry is not a neutral technological advance; it is a powerful commercial enterprise that actively shapes a world detrimental to health. It constructs a global environment where:</w:t>
      </w:r>
      <w:r>
        <w:br/>
      </w:r>
      <w:r>
        <w:br/>
        <w:t>· Conflict is more profitable, and therefore more likely.</w:t>
      </w:r>
      <w:r>
        <w:br/>
        <w:t>· The tools of violence are more accessible and devastating.</w:t>
      </w:r>
      <w:r>
        <w:br/>
        <w:t>· The rules protecting health in war are systematically undermined.</w:t>
      </w:r>
      <w:r>
        <w:br/>
        <w:t>· The costs are deliberately shifted away from shareholders and onto the most vulnerable populations.</w:t>
      </w:r>
      <w:r>
        <w:br/>
      </w:r>
      <w:r>
        <w:br/>
        <w:t xml:space="preserve">In this way, the AI-arms complex acts as a supercharged commercial determinant of health, driving inequity and injury on a global scale. </w:t>
      </w:r>
      <w:r w:rsidR="009C5CDF">
        <w:t>The arms industry is actively exploiting AI’s low</w:t>
      </w:r>
      <w:r w:rsidR="009C5CDF">
        <w:noBreakHyphen/>
        <w:t>cost, dual</w:t>
      </w:r>
      <w:r w:rsidR="009C5CDF">
        <w:noBreakHyphen/>
        <w:t>use, and scalable nature to place unprecedented lethal power not only in the hands of industrialized states, but also in the hands of marginal states and non</w:t>
      </w:r>
      <w:r w:rsidR="009C5CDF">
        <w:noBreakHyphen/>
        <w:t>state actors. This democratization of violence leads to more frequent, precise, and widespread attacks, whose health consequences extend far beyond the battlefield—causing physical injury, psychological trauma, the collapse of healthcare systems, and the erosion of fundamental human rights. Without urgent, coordinated international regulation that addresses both the supply and use of AI</w:t>
      </w:r>
      <w:r w:rsidR="009C5CDF">
        <w:noBreakHyphen/>
        <w:t>enabled weapons, this trend will continue to elevate the global burden of conflict</w:t>
      </w:r>
      <w:r w:rsidR="009C5CDF">
        <w:noBreakHyphen/>
        <w:t>related harm.</w:t>
      </w:r>
    </w:p>
    <w:p w14:paraId="7B2679D1" w14:textId="77777777" w:rsidR="00AA223B" w:rsidRDefault="00AA223B" w:rsidP="002B02DB"/>
    <w:p w14:paraId="6E68DC56" w14:textId="0CE49E59" w:rsidR="00AA223B" w:rsidRPr="00AA223B" w:rsidRDefault="00AA223B" w:rsidP="00AA223B">
      <w:r w:rsidRPr="00AA223B">
        <w:rPr>
          <w:b/>
          <w:bCs/>
        </w:rPr>
        <w:t>Session Format:</w:t>
      </w:r>
      <w:r w:rsidRPr="00AA223B">
        <w:t xml:space="preserve"> </w:t>
      </w:r>
      <w:r w:rsidR="00665C53">
        <w:t>A</w:t>
      </w:r>
      <w:r w:rsidR="008A5E53">
        <w:t xml:space="preserve"> </w:t>
      </w:r>
      <w:proofErr w:type="gramStart"/>
      <w:r w:rsidR="00E439CB">
        <w:t>2</w:t>
      </w:r>
      <w:r w:rsidR="00047AD7">
        <w:t xml:space="preserve"> hour</w:t>
      </w:r>
      <w:proofErr w:type="gramEnd"/>
      <w:r w:rsidRPr="00AA223B">
        <w:t xml:space="preserve"> moderated session will </w:t>
      </w:r>
      <w:r w:rsidR="008A5E53">
        <w:t xml:space="preserve">provide a summary overview of the major </w:t>
      </w:r>
      <w:r w:rsidR="00247F20">
        <w:t xml:space="preserve">findings, discussion points and conclusions from </w:t>
      </w:r>
      <w:proofErr w:type="gramStart"/>
      <w:r w:rsidR="00247F20">
        <w:t>the</w:t>
      </w:r>
      <w:r w:rsidR="000C07D5">
        <w:t>1 day</w:t>
      </w:r>
      <w:proofErr w:type="gramEnd"/>
      <w:r w:rsidR="00247F20">
        <w:t xml:space="preserve"> Special Sesson on</w:t>
      </w:r>
      <w:r w:rsidR="000C07D5">
        <w:t xml:space="preserve"> the same topic held during</w:t>
      </w:r>
      <w:r w:rsidR="004B37E6">
        <w:t xml:space="preserve"> Side Meeting period.  PS 1.2</w:t>
      </w:r>
      <w:r w:rsidR="00722E62">
        <w:t xml:space="preserve"> will</w:t>
      </w:r>
      <w:r w:rsidR="00247F20">
        <w:t xml:space="preserve"> </w:t>
      </w:r>
      <w:r w:rsidRPr="00AA223B">
        <w:t>include one keynote speaker who will set the stage with</w:t>
      </w:r>
      <w:r w:rsidR="002F4353">
        <w:t xml:space="preserve"> an </w:t>
      </w:r>
      <w:r w:rsidRPr="00AA223B">
        <w:t xml:space="preserve">overview of the key issues </w:t>
      </w:r>
      <w:r w:rsidR="00722E62">
        <w:t xml:space="preserve">discussed </w:t>
      </w:r>
      <w:r w:rsidR="00C55C90">
        <w:t xml:space="preserve">in the Special Sesson followed by specific discussion </w:t>
      </w:r>
      <w:r w:rsidR="002A7428">
        <w:t xml:space="preserve">of each of the </w:t>
      </w:r>
      <w:r w:rsidR="009817CC">
        <w:t xml:space="preserve"> 4 key </w:t>
      </w:r>
      <w:r w:rsidR="00624338">
        <w:t xml:space="preserve">objectives </w:t>
      </w:r>
      <w:r w:rsidR="00DC03AD">
        <w:t>discussed below</w:t>
      </w:r>
      <w:r w:rsidR="00F27A60">
        <w:t>, with a</w:t>
      </w:r>
      <w:r w:rsidR="00A9005C">
        <w:t>udience engagement throughout</w:t>
      </w:r>
      <w:r w:rsidR="00016F56">
        <w:t xml:space="preserve">.  Each objective will begin with </w:t>
      </w:r>
      <w:r w:rsidR="00C51F5D">
        <w:t>a</w:t>
      </w:r>
      <w:r w:rsidR="006F00CB">
        <w:t xml:space="preserve"> topical</w:t>
      </w:r>
      <w:r w:rsidR="00C51F5D">
        <w:t xml:space="preserve"> “scene setter” followed by a </w:t>
      </w:r>
      <w:r w:rsidR="00B11EFF">
        <w:t>moderated  discussion</w:t>
      </w:r>
      <w:r w:rsidR="00EC2237">
        <w:t>:</w:t>
      </w:r>
      <w:r w:rsidRPr="00AA223B">
        <w:t xml:space="preserve">  </w:t>
      </w:r>
    </w:p>
    <w:p w14:paraId="0BDEFFB6" w14:textId="3DF9F030" w:rsidR="002B02DB" w:rsidRDefault="002B02DB" w:rsidP="002B02DB"/>
    <w:p w14:paraId="6C88CA5E" w14:textId="6146E652" w:rsidR="00B237EB" w:rsidRDefault="00DC03AD" w:rsidP="002B02DB">
      <w:pPr>
        <w:rPr>
          <w:rFonts w:ascii="Arial" w:hAnsi="Arial" w:cs="Arial"/>
          <w:color w:val="222222"/>
          <w:shd w:val="clear" w:color="auto" w:fill="FFFFFF"/>
        </w:rPr>
      </w:pPr>
      <w:r>
        <w:t>Objective</w:t>
      </w:r>
      <w:r w:rsidR="0061665B" w:rsidRPr="0061665B">
        <w:t xml:space="preserve"> </w:t>
      </w:r>
      <w:r w:rsidR="004B0DDE">
        <w:t>1</w:t>
      </w:r>
      <w:r w:rsidR="0061665B" w:rsidRPr="0061665B">
        <w:t xml:space="preserve">  — The Epidemiology of the Threat</w:t>
      </w:r>
      <w:r w:rsidR="0061665B" w:rsidRPr="0061665B">
        <w:br/>
        <w:t>• What is the emerging evidence on mortality, injury, and disability attributable to AI-enabled, low-cost weapons — and how big are our data gaps?</w:t>
      </w:r>
      <w:r w:rsidR="0061665B" w:rsidRPr="0061665B">
        <w:br/>
        <w:t>• How does proliferation to non-state actors change the population-level health burden compared to state-to-state conflict?</w:t>
      </w:r>
      <w:r w:rsidR="0061665B" w:rsidRPr="0061665B">
        <w:br/>
        <w:t>• What are the downstream health effects beyond acute injury — displacement, mental health, health system collapse?</w:t>
      </w:r>
      <w:r w:rsidR="0061665B" w:rsidRPr="0061665B">
        <w:rPr>
          <w:rFonts w:ascii="Arial" w:hAnsi="Arial" w:cs="Arial"/>
          <w:color w:val="222222"/>
          <w:shd w:val="clear" w:color="auto" w:fill="FFFFFF"/>
        </w:rPr>
        <w:t xml:space="preserve"> </w:t>
      </w:r>
    </w:p>
    <w:p w14:paraId="5F7F5753" w14:textId="77777777" w:rsidR="00B237EB" w:rsidRDefault="00B237EB" w:rsidP="002B02DB">
      <w:pPr>
        <w:rPr>
          <w:rFonts w:ascii="Arial" w:hAnsi="Arial" w:cs="Arial"/>
          <w:color w:val="222222"/>
          <w:shd w:val="clear" w:color="auto" w:fill="FFFFFF"/>
        </w:rPr>
      </w:pPr>
    </w:p>
    <w:p w14:paraId="2327789C" w14:textId="1B73D957" w:rsidR="004B0DDE" w:rsidRPr="002B02DB" w:rsidRDefault="00DC03AD" w:rsidP="004B0DDE">
      <w:r>
        <w:t>Objective</w:t>
      </w:r>
      <w:r w:rsidR="004B0DDE" w:rsidRPr="002B02DB">
        <w:t xml:space="preserve"> </w:t>
      </w:r>
      <w:r w:rsidR="004B0DDE">
        <w:t>2</w:t>
      </w:r>
      <w:r w:rsidR="009854A5">
        <w:t xml:space="preserve"> </w:t>
      </w:r>
      <w:r w:rsidR="004B0DDE" w:rsidRPr="002B02DB">
        <w:t xml:space="preserve"> — The Commercial Determinants Framework</w:t>
      </w:r>
      <w:r w:rsidR="004B0DDE" w:rsidRPr="002B02DB">
        <w:br/>
        <w:t>• How does the AI-arms industry fit alongside tobacco, alcohol, and ultra-processed foods as a commercial determinant of health — and what’s similar or different?</w:t>
      </w:r>
      <w:r w:rsidR="004B0DDE" w:rsidRPr="002B02DB">
        <w:br/>
        <w:t>• Who profits from the proliferation of these weapons, and how are health costs externali</w:t>
      </w:r>
      <w:r w:rsidR="004B0DDE">
        <w:t>z</w:t>
      </w:r>
      <w:r w:rsidR="004B0DDE" w:rsidRPr="002B02DB">
        <w:t>ed onto populations and health systems?</w:t>
      </w:r>
      <w:r w:rsidR="004B0DDE" w:rsidRPr="002B02DB">
        <w:br/>
        <w:t>• Is the defense industry subject to the same scrutiny as other harmful industries, and if not, why not?</w:t>
      </w:r>
    </w:p>
    <w:p w14:paraId="0889A264" w14:textId="77777777" w:rsidR="004B0DDE" w:rsidRDefault="004B0DDE" w:rsidP="002B02DB">
      <w:pPr>
        <w:rPr>
          <w:rFonts w:ascii="Arial" w:hAnsi="Arial" w:cs="Arial"/>
          <w:color w:val="222222"/>
          <w:shd w:val="clear" w:color="auto" w:fill="FFFFFF"/>
        </w:rPr>
      </w:pPr>
    </w:p>
    <w:p w14:paraId="67B820EF" w14:textId="4DADD417" w:rsidR="002B02DB" w:rsidRPr="002B02DB" w:rsidRDefault="00DC03AD" w:rsidP="002B02DB">
      <w:r>
        <w:t xml:space="preserve">Objective </w:t>
      </w:r>
      <w:r w:rsidR="002B02DB" w:rsidRPr="002B02DB">
        <w:t>3  — Regulatory and Governance Failures</w:t>
      </w:r>
      <w:r w:rsidR="002B02DB" w:rsidRPr="002B02DB">
        <w:br/>
        <w:t>• Where are the specific gaps in international arms control, export law, and AI governance that allow this proliferation to accelerate?</w:t>
      </w:r>
      <w:r w:rsidR="002B02DB" w:rsidRPr="002B02DB">
        <w:br/>
        <w:t>• Are existing frameworks like the Arms Trade Treaty and international humanitarian law fit for purpose in the age of autonomous and semi-autonomous weapons?</w:t>
      </w:r>
      <w:r w:rsidR="002B02DB" w:rsidRPr="002B02DB">
        <w:br/>
        <w:t>• What role do technology companies and investors have, and how should corporate accountability be framed?</w:t>
      </w:r>
    </w:p>
    <w:p w14:paraId="1DD470A7" w14:textId="77777777" w:rsidR="002B02DB" w:rsidRPr="002B02DB" w:rsidRDefault="002B02DB" w:rsidP="002B02DB"/>
    <w:p w14:paraId="79F28BDC" w14:textId="3805ADDD" w:rsidR="002B02DB" w:rsidRPr="002B02DB" w:rsidRDefault="00DC03AD" w:rsidP="002B02DB">
      <w:r>
        <w:t>Objective</w:t>
      </w:r>
      <w:r w:rsidR="002B02DB" w:rsidRPr="002B02DB">
        <w:t xml:space="preserve"> 4  — The Health Community’s Response</w:t>
      </w:r>
      <w:r w:rsidR="002B02DB" w:rsidRPr="002B02DB">
        <w:br/>
        <w:t>• Why has the global health community been largely absent from this debate, and what would it take to change that?</w:t>
      </w:r>
      <w:r w:rsidR="002B02DB" w:rsidRPr="002B02DB">
        <w:br/>
        <w:t>• What precedents from tobacco control, fossil fuel divestment, or landmine advocacy can be adapted here?</w:t>
      </w:r>
      <w:r w:rsidR="002B02DB" w:rsidRPr="002B02DB">
        <w:br/>
        <w:t>• What is the specific ask of health professionals, WHO, and health ministries?</w:t>
      </w:r>
    </w:p>
    <w:p w14:paraId="68EC64EA" w14:textId="77777777" w:rsidR="002B02DB" w:rsidRPr="002B02DB" w:rsidRDefault="002B02DB" w:rsidP="002B02DB"/>
    <w:p w14:paraId="1F7A3192" w14:textId="38AD4D21" w:rsidR="002B02DB" w:rsidRDefault="002B02DB" w:rsidP="002B02DB">
      <w:r w:rsidRPr="002B02DB">
        <w:t>Closing  — Consensus and Next Steps</w:t>
      </w:r>
      <w:r w:rsidRPr="002B02DB">
        <w:br/>
        <w:t>• What is the single most important action that could be taken in the next 12 months to reduce the health burden of AI-enabled weapons proliferation?</w:t>
      </w:r>
      <w:r w:rsidRPr="002B02DB">
        <w:br/>
        <w:t>• What does success look like in 10 years, and who needs to be at the table to get there?</w:t>
      </w:r>
    </w:p>
    <w:p w14:paraId="71AF9D05" w14:textId="77777777" w:rsidR="00A9005C" w:rsidRDefault="00A9005C" w:rsidP="002B02DB"/>
    <w:p w14:paraId="07E4AE2E" w14:textId="77777777" w:rsidR="00F80DB4" w:rsidRDefault="00F80DB4" w:rsidP="002B02DB"/>
    <w:p w14:paraId="69E207C4" w14:textId="4CDBE7FA" w:rsidR="00A9005C" w:rsidRDefault="00632CB0" w:rsidP="002B02DB">
      <w:r>
        <w:t>Suggested Panelists:</w:t>
      </w:r>
    </w:p>
    <w:p w14:paraId="0D1636E7" w14:textId="77777777" w:rsidR="008F6470" w:rsidRDefault="008F6470" w:rsidP="002B02DB"/>
    <w:tbl>
      <w:tblPr>
        <w:tblStyle w:val="TableGrid"/>
        <w:tblW w:w="11553" w:type="dxa"/>
        <w:tblLook w:val="04A0" w:firstRow="1" w:lastRow="0" w:firstColumn="1" w:lastColumn="0" w:noHBand="0" w:noVBand="1"/>
      </w:tblPr>
      <w:tblGrid>
        <w:gridCol w:w="1502"/>
        <w:gridCol w:w="1780"/>
        <w:gridCol w:w="4511"/>
        <w:gridCol w:w="3760"/>
      </w:tblGrid>
      <w:tr w:rsidR="00E7457D" w:rsidRPr="006D11A7" w14:paraId="3852004C" w14:textId="77777777" w:rsidTr="00723EAA">
        <w:tc>
          <w:tcPr>
            <w:tcW w:w="1502" w:type="dxa"/>
          </w:tcPr>
          <w:p w14:paraId="75213BB7" w14:textId="77777777" w:rsidR="00E7457D" w:rsidRPr="006D11A7" w:rsidRDefault="00E7457D" w:rsidP="006D11A7">
            <w:pPr>
              <w:rPr>
                <w:rFonts w:asciiTheme="minorHAnsi" w:eastAsiaTheme="minorEastAsia" w:hAnsiTheme="minorHAnsi" w:cstheme="minorBidi"/>
                <w:b/>
                <w:bCs/>
                <w:kern w:val="2"/>
                <w14:ligatures w14:val="standardContextual"/>
              </w:rPr>
            </w:pPr>
            <w:r w:rsidRPr="006D11A7">
              <w:rPr>
                <w:rFonts w:asciiTheme="minorHAnsi" w:eastAsiaTheme="minorEastAsia" w:hAnsiTheme="minorHAnsi" w:cstheme="minorBidi"/>
                <w:b/>
                <w:bCs/>
                <w:kern w:val="2"/>
                <w14:ligatures w14:val="standardContextual"/>
              </w:rPr>
              <w:t>Name</w:t>
            </w:r>
          </w:p>
        </w:tc>
        <w:tc>
          <w:tcPr>
            <w:tcW w:w="1780" w:type="dxa"/>
          </w:tcPr>
          <w:p w14:paraId="16FCE281" w14:textId="77777777" w:rsidR="00E7457D" w:rsidRPr="006D11A7" w:rsidRDefault="00E7457D" w:rsidP="006D11A7">
            <w:pPr>
              <w:rPr>
                <w:rFonts w:asciiTheme="minorHAnsi" w:eastAsiaTheme="minorEastAsia" w:hAnsiTheme="minorHAnsi" w:cstheme="minorBidi"/>
                <w:b/>
                <w:bCs/>
                <w:kern w:val="2"/>
                <w14:ligatures w14:val="standardContextual"/>
              </w:rPr>
            </w:pPr>
            <w:r w:rsidRPr="006D11A7">
              <w:rPr>
                <w:rFonts w:asciiTheme="minorHAnsi" w:eastAsiaTheme="minorEastAsia" w:hAnsiTheme="minorHAnsi" w:cstheme="minorBidi"/>
                <w:b/>
                <w:bCs/>
                <w:kern w:val="2"/>
                <w14:ligatures w14:val="standardContextual"/>
              </w:rPr>
              <w:t>Affiliation</w:t>
            </w:r>
          </w:p>
        </w:tc>
        <w:tc>
          <w:tcPr>
            <w:tcW w:w="4511" w:type="dxa"/>
          </w:tcPr>
          <w:p w14:paraId="7E8A2EA0" w14:textId="77777777" w:rsidR="00E7457D" w:rsidRPr="006D11A7" w:rsidRDefault="00E7457D" w:rsidP="006D11A7">
            <w:pPr>
              <w:rPr>
                <w:rFonts w:asciiTheme="minorHAnsi" w:eastAsiaTheme="minorEastAsia" w:hAnsiTheme="minorHAnsi" w:cstheme="minorBidi"/>
                <w:b/>
                <w:bCs/>
                <w:kern w:val="2"/>
                <w14:ligatures w14:val="standardContextual"/>
              </w:rPr>
            </w:pPr>
            <w:r w:rsidRPr="006D11A7">
              <w:rPr>
                <w:rFonts w:asciiTheme="minorHAnsi" w:eastAsiaTheme="minorEastAsia" w:hAnsiTheme="minorHAnsi" w:cstheme="minorBidi"/>
                <w:b/>
                <w:bCs/>
                <w:kern w:val="2"/>
                <w14:ligatures w14:val="standardContextual"/>
              </w:rPr>
              <w:t>Comment</w:t>
            </w:r>
          </w:p>
        </w:tc>
        <w:tc>
          <w:tcPr>
            <w:tcW w:w="3760" w:type="dxa"/>
          </w:tcPr>
          <w:p w14:paraId="162BA012" w14:textId="77777777" w:rsidR="00E7457D" w:rsidRPr="006D11A7" w:rsidRDefault="00E7457D" w:rsidP="006D11A7">
            <w:pPr>
              <w:rPr>
                <w:rFonts w:asciiTheme="minorHAnsi" w:eastAsiaTheme="minorEastAsia" w:hAnsiTheme="minorHAnsi" w:cstheme="minorBidi"/>
                <w:b/>
                <w:bCs/>
                <w:kern w:val="2"/>
                <w14:ligatures w14:val="standardContextual"/>
              </w:rPr>
            </w:pPr>
            <w:r w:rsidRPr="006D11A7">
              <w:rPr>
                <w:rFonts w:asciiTheme="minorHAnsi" w:eastAsiaTheme="minorEastAsia" w:hAnsiTheme="minorHAnsi" w:cstheme="minorBidi"/>
                <w:b/>
                <w:bCs/>
                <w:kern w:val="2"/>
                <w14:ligatures w14:val="standardContextual"/>
              </w:rPr>
              <w:t>Contact Information</w:t>
            </w:r>
          </w:p>
        </w:tc>
      </w:tr>
      <w:tr w:rsidR="00E7457D" w:rsidRPr="006D11A7" w14:paraId="442AC620" w14:textId="77777777" w:rsidTr="00723EAA">
        <w:tc>
          <w:tcPr>
            <w:tcW w:w="1502" w:type="dxa"/>
          </w:tcPr>
          <w:p w14:paraId="3CE22506" w14:textId="77777777" w:rsidR="00E7457D" w:rsidRPr="006D11A7" w:rsidRDefault="00E7457D" w:rsidP="006D11A7">
            <w:pPr>
              <w:rPr>
                <w:rFonts w:asciiTheme="minorHAnsi" w:eastAsiaTheme="minorEastAsia" w:hAnsiTheme="minorHAnsi" w:cstheme="minorBidi"/>
                <w:kern w:val="2"/>
                <w14:ligatures w14:val="standardContextual"/>
              </w:rPr>
            </w:pPr>
            <w:r w:rsidRPr="006D11A7">
              <w:rPr>
                <w:rFonts w:asciiTheme="minorHAnsi" w:eastAsiaTheme="minorEastAsia" w:hAnsiTheme="minorHAnsi" w:cstheme="minorBidi"/>
                <w:kern w:val="2"/>
                <w14:ligatures w14:val="standardContextual"/>
              </w:rPr>
              <w:t>Dr. Nason Maani</w:t>
            </w:r>
          </w:p>
        </w:tc>
        <w:tc>
          <w:tcPr>
            <w:tcW w:w="1780" w:type="dxa"/>
          </w:tcPr>
          <w:p w14:paraId="4AB3209C" w14:textId="77777777" w:rsidR="00E7457D" w:rsidRPr="006D11A7" w:rsidRDefault="00E7457D" w:rsidP="006D11A7">
            <w:pPr>
              <w:rPr>
                <w:rFonts w:asciiTheme="minorHAnsi" w:eastAsiaTheme="minorEastAsia" w:hAnsiTheme="minorHAnsi" w:cstheme="minorBidi"/>
                <w:kern w:val="2"/>
                <w14:ligatures w14:val="standardContextual"/>
              </w:rPr>
            </w:pPr>
            <w:r w:rsidRPr="006D11A7">
              <w:rPr>
                <w:rFonts w:asciiTheme="minorHAnsi" w:eastAsiaTheme="minorEastAsia" w:hAnsiTheme="minorHAnsi" w:cstheme="minorBidi"/>
                <w:kern w:val="2"/>
                <w14:ligatures w14:val="standardContextual"/>
              </w:rPr>
              <w:t>Deputy Director, Local Health and Global Profits Theme School of Social and Political Science, University of Edinburg)</w:t>
            </w:r>
          </w:p>
        </w:tc>
        <w:tc>
          <w:tcPr>
            <w:tcW w:w="4511" w:type="dxa"/>
          </w:tcPr>
          <w:p w14:paraId="54F6DACF" w14:textId="77777777" w:rsidR="00E7457D" w:rsidRPr="006D11A7" w:rsidRDefault="00E7457D" w:rsidP="006D11A7">
            <w:pPr>
              <w:rPr>
                <w:rFonts w:asciiTheme="minorHAnsi" w:eastAsiaTheme="minorEastAsia" w:hAnsiTheme="minorHAnsi" w:cstheme="minorBidi"/>
                <w:kern w:val="2"/>
                <w14:ligatures w14:val="standardContextual"/>
              </w:rPr>
            </w:pPr>
            <w:r w:rsidRPr="006D11A7">
              <w:rPr>
                <w:rFonts w:asciiTheme="minorHAnsi" w:eastAsiaTheme="minorEastAsia" w:hAnsiTheme="minorHAnsi" w:cstheme="minorBidi"/>
                <w:kern w:val="2"/>
                <w14:ligatures w14:val="standardContextual"/>
              </w:rPr>
              <w:t>A contributor to the BMJ arms-as-CDoH series , with expertise in how commercial industries shape regulatory environments and public policy. Brings comparative industry experience across tobacco, alcohol, and arms.</w:t>
            </w:r>
          </w:p>
          <w:p w14:paraId="1D3524BF" w14:textId="77777777" w:rsidR="00E7457D" w:rsidRPr="006D11A7" w:rsidRDefault="00E7457D" w:rsidP="006D11A7">
            <w:pPr>
              <w:rPr>
                <w:rFonts w:asciiTheme="minorHAnsi" w:eastAsiaTheme="minorEastAsia" w:hAnsiTheme="minorHAnsi" w:cstheme="minorBidi"/>
                <w:kern w:val="2"/>
                <w14:ligatures w14:val="standardContextual"/>
              </w:rPr>
            </w:pPr>
            <w:r w:rsidRPr="006D11A7">
              <w:rPr>
                <w:rFonts w:asciiTheme="minorHAnsi" w:eastAsiaTheme="minorEastAsia" w:hAnsiTheme="minorHAnsi" w:cstheme="minorBidi"/>
                <w:kern w:val="2"/>
                <w14:ligatures w14:val="standardContextual"/>
              </w:rPr>
              <w:br/>
            </w:r>
          </w:p>
        </w:tc>
        <w:tc>
          <w:tcPr>
            <w:tcW w:w="3760" w:type="dxa"/>
          </w:tcPr>
          <w:p w14:paraId="7D882899" w14:textId="1F4D5EAC" w:rsidR="00E7457D" w:rsidRDefault="003A1D84" w:rsidP="006D11A7">
            <w:pPr>
              <w:rPr>
                <w:rFonts w:asciiTheme="minorHAnsi" w:eastAsiaTheme="minorEastAsia" w:hAnsiTheme="minorHAnsi" w:cstheme="minorBidi"/>
                <w:kern w:val="2"/>
                <w14:ligatures w14:val="standardContextual"/>
              </w:rPr>
            </w:pPr>
            <w:hyperlink r:id="rId6" w:history="1">
              <w:r w:rsidRPr="00B368AB">
                <w:rPr>
                  <w:rStyle w:val="Hyperlink"/>
                  <w:rFonts w:asciiTheme="minorHAnsi" w:eastAsiaTheme="minorEastAsia" w:hAnsiTheme="minorHAnsi" w:cstheme="minorBidi"/>
                  <w:kern w:val="2"/>
                  <w14:ligatures w14:val="standardContextual"/>
                </w:rPr>
                <w:t>nason.maani@ed.ac.uk</w:t>
              </w:r>
            </w:hyperlink>
          </w:p>
          <w:p w14:paraId="1ACF7C4B" w14:textId="77777777" w:rsidR="003A1D84" w:rsidRPr="006D11A7" w:rsidRDefault="003A1D84" w:rsidP="006D11A7">
            <w:pPr>
              <w:rPr>
                <w:rFonts w:asciiTheme="minorHAnsi" w:eastAsiaTheme="minorEastAsia" w:hAnsiTheme="minorHAnsi" w:cstheme="minorBidi"/>
                <w:kern w:val="2"/>
                <w14:ligatures w14:val="standardContextual"/>
              </w:rPr>
            </w:pPr>
          </w:p>
        </w:tc>
      </w:tr>
      <w:tr w:rsidR="00723EAA" w:rsidRPr="006D11A7" w14:paraId="4044368E" w14:textId="77777777" w:rsidTr="00723EAA">
        <w:tc>
          <w:tcPr>
            <w:tcW w:w="1502" w:type="dxa"/>
          </w:tcPr>
          <w:p w14:paraId="37FF7FE9" w14:textId="65693A46" w:rsidR="00723EAA" w:rsidRPr="006D11A7" w:rsidRDefault="00723EAA" w:rsidP="00723EAA">
            <w:pPr>
              <w:rPr>
                <w:rFonts w:asciiTheme="minorHAnsi" w:eastAsiaTheme="minorEastAsia" w:hAnsiTheme="minorHAnsi" w:cstheme="minorBidi"/>
                <w:kern w:val="2"/>
                <w14:ligatures w14:val="standardContextual"/>
              </w:rPr>
            </w:pPr>
            <w:r>
              <w:t>Karim Haggag</w:t>
            </w:r>
          </w:p>
        </w:tc>
        <w:tc>
          <w:tcPr>
            <w:tcW w:w="1780" w:type="dxa"/>
          </w:tcPr>
          <w:p w14:paraId="10ED709D" w14:textId="77777777" w:rsidR="00723EAA" w:rsidRDefault="00723EAA" w:rsidP="00723EAA">
            <w:r>
              <w:t xml:space="preserve">(SIPRI) Stockholm International Peace </w:t>
            </w:r>
          </w:p>
          <w:p w14:paraId="5FDACFA8" w14:textId="00060112" w:rsidR="00723EAA" w:rsidRPr="006D11A7" w:rsidRDefault="00723EAA" w:rsidP="00723EAA">
            <w:pPr>
              <w:rPr>
                <w:rFonts w:asciiTheme="minorHAnsi" w:eastAsiaTheme="minorEastAsia" w:hAnsiTheme="minorHAnsi" w:cstheme="minorBidi"/>
                <w:kern w:val="2"/>
                <w14:ligatures w14:val="standardContextual"/>
              </w:rPr>
            </w:pPr>
            <w:r>
              <w:t xml:space="preserve"> Institute</w:t>
            </w:r>
          </w:p>
        </w:tc>
        <w:tc>
          <w:tcPr>
            <w:tcW w:w="4511" w:type="dxa"/>
          </w:tcPr>
          <w:p w14:paraId="5BA75000" w14:textId="0163AE57" w:rsidR="00723EAA" w:rsidRPr="006D11A7" w:rsidRDefault="00723EAA" w:rsidP="00723EAA">
            <w:pPr>
              <w:rPr>
                <w:rFonts w:asciiTheme="minorHAnsi" w:eastAsiaTheme="minorEastAsia" w:hAnsiTheme="minorHAnsi" w:cstheme="minorBidi"/>
                <w:kern w:val="2"/>
                <w14:ligatures w14:val="standardContextual"/>
              </w:rPr>
            </w:pPr>
            <w:r w:rsidRPr="003C3482">
              <w:rPr>
                <w:rFonts w:ascii="Calibri" w:hAnsi="Calibri" w:cs="Calibri"/>
                <w:i/>
                <w:iCs/>
              </w:rPr>
              <w:t xml:space="preserve"> (</w:t>
            </w:r>
            <w:hyperlink r:id="rId7" w:history="1">
              <w:r w:rsidRPr="00B051F7">
                <w:rPr>
                  <w:rStyle w:val="Hyperlink"/>
                  <w:rFonts w:ascii="Calibri" w:hAnsi="Calibri" w:cs="Calibri"/>
                  <w:i/>
                  <w:iCs/>
                </w:rPr>
                <w:t>https://www.sipri.org/about/bios/karim-haggag</w:t>
              </w:r>
            </w:hyperlink>
            <w:r w:rsidRPr="003C3482">
              <w:rPr>
                <w:rFonts w:ascii="Calibri" w:hAnsi="Calibri" w:cs="Calibri"/>
                <w:i/>
                <w:iCs/>
              </w:rPr>
              <w:t>)</w:t>
            </w:r>
          </w:p>
        </w:tc>
        <w:tc>
          <w:tcPr>
            <w:tcW w:w="3760" w:type="dxa"/>
          </w:tcPr>
          <w:p w14:paraId="44660202" w14:textId="75B5AA90" w:rsidR="00723EAA" w:rsidRDefault="003A1D84" w:rsidP="00723EAA">
            <w:pPr>
              <w:rPr>
                <w:rFonts w:ascii="Calibri" w:hAnsi="Calibri" w:cs="Calibri"/>
              </w:rPr>
            </w:pPr>
            <w:hyperlink r:id="rId8" w:history="1">
              <w:r w:rsidRPr="00B368AB">
                <w:rPr>
                  <w:rStyle w:val="Hyperlink"/>
                  <w:rFonts w:ascii="Calibri" w:hAnsi="Calibri" w:cs="Calibri"/>
                </w:rPr>
                <w:t>Karim.haggag@sipri.org</w:t>
              </w:r>
            </w:hyperlink>
          </w:p>
          <w:p w14:paraId="3CB5008B" w14:textId="6823E5D1" w:rsidR="003A1D84" w:rsidRPr="006D11A7" w:rsidRDefault="003A1D84" w:rsidP="00723EAA">
            <w:pPr>
              <w:rPr>
                <w:rFonts w:asciiTheme="minorHAnsi" w:eastAsiaTheme="minorEastAsia" w:hAnsiTheme="minorHAnsi" w:cstheme="minorBidi"/>
                <w:kern w:val="2"/>
                <w14:ligatures w14:val="standardContextual"/>
              </w:rPr>
            </w:pPr>
          </w:p>
        </w:tc>
      </w:tr>
      <w:tr w:rsidR="00723EAA" w:rsidRPr="006D11A7" w14:paraId="6BD23961" w14:textId="77777777" w:rsidTr="00723EAA">
        <w:tc>
          <w:tcPr>
            <w:tcW w:w="1502" w:type="dxa"/>
          </w:tcPr>
          <w:p w14:paraId="13EDB23E" w14:textId="0F5C89D4" w:rsidR="00723EAA" w:rsidRPr="006D11A7" w:rsidRDefault="00723EAA" w:rsidP="00723EAA">
            <w:pPr>
              <w:rPr>
                <w:rFonts w:asciiTheme="minorHAnsi" w:eastAsiaTheme="minorEastAsia" w:hAnsiTheme="minorHAnsi" w:cstheme="minorBidi"/>
                <w:kern w:val="2"/>
                <w14:ligatures w14:val="standardContextual"/>
              </w:rPr>
            </w:pPr>
            <w:r w:rsidRPr="006D11A7">
              <w:rPr>
                <w:rFonts w:asciiTheme="minorHAnsi" w:eastAsiaTheme="minorEastAsia" w:hAnsiTheme="minorHAnsi" w:cstheme="minorBidi"/>
                <w:kern w:val="2"/>
                <w14:ligatures w14:val="standardContextual"/>
              </w:rPr>
              <w:t xml:space="preserve">Dr. Jihad </w:t>
            </w:r>
            <w:r>
              <w:rPr>
                <w:rFonts w:asciiTheme="minorHAnsi" w:eastAsiaTheme="minorEastAsia" w:hAnsiTheme="minorHAnsi" w:cstheme="minorBidi"/>
                <w:kern w:val="2"/>
                <w14:ligatures w14:val="standardContextual"/>
              </w:rPr>
              <w:t>(</w:t>
            </w:r>
            <w:r w:rsidRPr="006D11A7">
              <w:rPr>
                <w:rFonts w:asciiTheme="minorHAnsi" w:eastAsiaTheme="minorEastAsia" w:hAnsiTheme="minorHAnsi" w:cstheme="minorBidi"/>
                <w:kern w:val="2"/>
                <w14:ligatures w14:val="standardContextual"/>
              </w:rPr>
              <w:t>Judy) Makhoul</w:t>
            </w:r>
          </w:p>
        </w:tc>
        <w:tc>
          <w:tcPr>
            <w:tcW w:w="1780" w:type="dxa"/>
          </w:tcPr>
          <w:p w14:paraId="20DBA108" w14:textId="77777777" w:rsidR="00723EAA" w:rsidRPr="006D11A7" w:rsidRDefault="00723EAA" w:rsidP="00723EAA">
            <w:pPr>
              <w:rPr>
                <w:rFonts w:asciiTheme="minorHAnsi" w:eastAsiaTheme="minorEastAsia" w:hAnsiTheme="minorHAnsi" w:cstheme="minorBidi"/>
                <w:kern w:val="2"/>
                <w14:ligatures w14:val="standardContextual"/>
              </w:rPr>
            </w:pPr>
            <w:r w:rsidRPr="006D11A7">
              <w:rPr>
                <w:rFonts w:asciiTheme="minorHAnsi" w:eastAsiaTheme="minorEastAsia" w:hAnsiTheme="minorHAnsi" w:cstheme="minorBidi"/>
                <w:kern w:val="2"/>
                <w14:ligatures w14:val="standardContextual"/>
              </w:rPr>
              <w:t>Health Promotion and Community Health, American University of Beirut</w:t>
            </w:r>
          </w:p>
        </w:tc>
        <w:tc>
          <w:tcPr>
            <w:tcW w:w="4511" w:type="dxa"/>
          </w:tcPr>
          <w:p w14:paraId="24BD85B3" w14:textId="2813BACF" w:rsidR="00723EAA" w:rsidRPr="006D11A7" w:rsidRDefault="00723EAA" w:rsidP="00723EAA">
            <w:pPr>
              <w:rPr>
                <w:rFonts w:asciiTheme="minorHAnsi" w:eastAsiaTheme="minorEastAsia" w:hAnsiTheme="minorHAnsi" w:cstheme="minorBidi"/>
                <w:kern w:val="2"/>
                <w14:ligatures w14:val="standardContextual"/>
              </w:rPr>
            </w:pPr>
            <w:r>
              <w:rPr>
                <w:rFonts w:asciiTheme="minorHAnsi" w:eastAsiaTheme="minorEastAsia" w:hAnsiTheme="minorHAnsi" w:cstheme="minorBidi"/>
                <w:kern w:val="2"/>
                <w14:ligatures w14:val="standardContextual"/>
              </w:rPr>
              <w:t>Her</w:t>
            </w:r>
            <w:r w:rsidRPr="006D11A7">
              <w:rPr>
                <w:rFonts w:asciiTheme="minorHAnsi" w:eastAsiaTheme="minorEastAsia" w:hAnsiTheme="minorHAnsi" w:cstheme="minorBidi"/>
                <w:kern w:val="2"/>
                <w14:ligatures w14:val="standardContextual"/>
              </w:rPr>
              <w:t xml:space="preserve">  professional life has evolved from much reflection on my years of experience in non-governmental agency work in community health and development in Lebanon during the wartime and in some parts of the Arab region,  </w:t>
            </w:r>
            <w:proofErr w:type="gramStart"/>
            <w:r w:rsidRPr="006D11A7">
              <w:rPr>
                <w:rFonts w:asciiTheme="minorHAnsi" w:eastAsiaTheme="minorEastAsia" w:hAnsiTheme="minorHAnsi" w:cstheme="minorBidi"/>
                <w:kern w:val="2"/>
                <w14:ligatures w14:val="standardContextual"/>
              </w:rPr>
              <w:t>She</w:t>
            </w:r>
            <w:proofErr w:type="gramEnd"/>
            <w:r w:rsidRPr="006D11A7">
              <w:rPr>
                <w:rFonts w:asciiTheme="minorHAnsi" w:eastAsiaTheme="minorEastAsia" w:hAnsiTheme="minorHAnsi" w:cstheme="minorBidi"/>
                <w:kern w:val="2"/>
                <w14:ligatures w14:val="standardContextual"/>
              </w:rPr>
              <w:t xml:space="preserve"> has worked closely on social and structural determinants of health, social exclusion, research ethics, public health ethics and community engaging research.</w:t>
            </w:r>
          </w:p>
        </w:tc>
        <w:tc>
          <w:tcPr>
            <w:tcW w:w="3760" w:type="dxa"/>
          </w:tcPr>
          <w:p w14:paraId="15BEFD0C" w14:textId="5299C66C" w:rsidR="00723EAA" w:rsidRPr="006D11A7" w:rsidRDefault="00723EAA" w:rsidP="00723EAA">
            <w:pPr>
              <w:rPr>
                <w:rFonts w:asciiTheme="minorHAnsi" w:eastAsiaTheme="minorEastAsia" w:hAnsiTheme="minorHAnsi" w:cstheme="minorBidi"/>
                <w:kern w:val="2"/>
                <w14:ligatures w14:val="standardContextual"/>
              </w:rPr>
            </w:pPr>
            <w:hyperlink r:id="rId9" w:history="1">
              <w:r w:rsidRPr="00B368AB">
                <w:rPr>
                  <w:rStyle w:val="Hyperlink"/>
                  <w:rFonts w:asciiTheme="minorHAnsi" w:eastAsiaTheme="minorEastAsia" w:hAnsiTheme="minorHAnsi" w:cstheme="minorBidi"/>
                  <w:kern w:val="2"/>
                  <w14:ligatures w14:val="standardContextual"/>
                </w:rPr>
                <w:t>Jm04@aub.ed.lb</w:t>
              </w:r>
            </w:hyperlink>
          </w:p>
        </w:tc>
      </w:tr>
      <w:tr w:rsidR="00723EAA" w:rsidRPr="006D11A7" w14:paraId="51BF6EBA" w14:textId="77777777" w:rsidTr="00723EAA">
        <w:tc>
          <w:tcPr>
            <w:tcW w:w="1502" w:type="dxa"/>
          </w:tcPr>
          <w:p w14:paraId="7AF02EB4" w14:textId="5B848ECA" w:rsidR="00723EAA" w:rsidRPr="006D11A7" w:rsidRDefault="00723EAA" w:rsidP="00723EAA">
            <w:pPr>
              <w:rPr>
                <w:rFonts w:asciiTheme="minorHAnsi" w:eastAsiaTheme="minorEastAsia" w:hAnsiTheme="minorHAnsi" w:cstheme="minorBidi"/>
                <w:kern w:val="2"/>
                <w14:ligatures w14:val="standardContextual"/>
              </w:rPr>
            </w:pPr>
            <w:r>
              <w:t>Karim Haggag</w:t>
            </w:r>
          </w:p>
        </w:tc>
        <w:tc>
          <w:tcPr>
            <w:tcW w:w="1780" w:type="dxa"/>
          </w:tcPr>
          <w:p w14:paraId="0766B4C7" w14:textId="77777777" w:rsidR="00723EAA" w:rsidRDefault="00723EAA" w:rsidP="00723EAA">
            <w:r>
              <w:t xml:space="preserve">(SIPRI) Stockholm International Peace </w:t>
            </w:r>
          </w:p>
          <w:p w14:paraId="6B3CA1F4" w14:textId="0A31F529" w:rsidR="00723EAA" w:rsidRPr="006D11A7" w:rsidRDefault="00723EAA" w:rsidP="00723EAA">
            <w:pPr>
              <w:rPr>
                <w:rFonts w:asciiTheme="minorHAnsi" w:eastAsiaTheme="minorEastAsia" w:hAnsiTheme="minorHAnsi" w:cstheme="minorBidi"/>
                <w:kern w:val="2"/>
                <w14:ligatures w14:val="standardContextual"/>
              </w:rPr>
            </w:pPr>
            <w:r>
              <w:t xml:space="preserve"> Institute</w:t>
            </w:r>
          </w:p>
        </w:tc>
        <w:tc>
          <w:tcPr>
            <w:tcW w:w="4511" w:type="dxa"/>
          </w:tcPr>
          <w:p w14:paraId="101E0382" w14:textId="3996E895" w:rsidR="00723EAA" w:rsidRPr="006D11A7" w:rsidRDefault="00723EAA" w:rsidP="00723EAA">
            <w:pPr>
              <w:rPr>
                <w:rFonts w:asciiTheme="minorHAnsi" w:eastAsiaTheme="minorEastAsia" w:hAnsiTheme="minorHAnsi" w:cstheme="minorBidi"/>
                <w:kern w:val="2"/>
                <w14:ligatures w14:val="standardContextual"/>
              </w:rPr>
            </w:pPr>
            <w:r w:rsidRPr="003C3482">
              <w:rPr>
                <w:rFonts w:ascii="Calibri" w:hAnsi="Calibri" w:cs="Calibri"/>
                <w:i/>
                <w:iCs/>
              </w:rPr>
              <w:t xml:space="preserve"> (</w:t>
            </w:r>
            <w:hyperlink r:id="rId10" w:history="1">
              <w:r w:rsidRPr="00B051F7">
                <w:rPr>
                  <w:rStyle w:val="Hyperlink"/>
                  <w:rFonts w:ascii="Calibri" w:hAnsi="Calibri" w:cs="Calibri"/>
                  <w:i/>
                  <w:iCs/>
                </w:rPr>
                <w:t>https://www.sipri.org/about/bios/karim-haggag</w:t>
              </w:r>
            </w:hyperlink>
            <w:r w:rsidRPr="003C3482">
              <w:rPr>
                <w:rFonts w:ascii="Calibri" w:hAnsi="Calibri" w:cs="Calibri"/>
                <w:i/>
                <w:iCs/>
              </w:rPr>
              <w:t>)</w:t>
            </w:r>
          </w:p>
        </w:tc>
        <w:tc>
          <w:tcPr>
            <w:tcW w:w="3760" w:type="dxa"/>
          </w:tcPr>
          <w:p w14:paraId="6834195C" w14:textId="07C5A1AD" w:rsidR="00723EAA" w:rsidRDefault="00723EAA" w:rsidP="00723EAA">
            <w:pPr>
              <w:rPr>
                <w:rFonts w:ascii="Calibri" w:hAnsi="Calibri" w:cs="Calibri"/>
              </w:rPr>
            </w:pPr>
            <w:hyperlink r:id="rId11" w:history="1">
              <w:r w:rsidRPr="00B368AB">
                <w:rPr>
                  <w:rStyle w:val="Hyperlink"/>
                  <w:rFonts w:ascii="Calibri" w:hAnsi="Calibri" w:cs="Calibri"/>
                </w:rPr>
                <w:t>Karim.haggag@sipri.org</w:t>
              </w:r>
            </w:hyperlink>
          </w:p>
          <w:p w14:paraId="6A793B0F" w14:textId="6D6568EE" w:rsidR="00723EAA" w:rsidRPr="006D11A7" w:rsidRDefault="00723EAA" w:rsidP="00723EAA">
            <w:pPr>
              <w:rPr>
                <w:rFonts w:asciiTheme="minorHAnsi" w:eastAsiaTheme="minorEastAsia" w:hAnsiTheme="minorHAnsi" w:cstheme="minorBidi"/>
                <w:kern w:val="2"/>
                <w14:ligatures w14:val="standardContextual"/>
              </w:rPr>
            </w:pPr>
          </w:p>
        </w:tc>
      </w:tr>
      <w:tr w:rsidR="00723EAA" w:rsidRPr="006D11A7" w14:paraId="206E4149" w14:textId="77777777" w:rsidTr="00723EAA">
        <w:tc>
          <w:tcPr>
            <w:tcW w:w="1502" w:type="dxa"/>
          </w:tcPr>
          <w:p w14:paraId="228E91CD" w14:textId="25DB55B6" w:rsidR="00723EAA" w:rsidRPr="006D11A7" w:rsidRDefault="00723EAA" w:rsidP="00723EAA">
            <w:pPr>
              <w:rPr>
                <w:rFonts w:asciiTheme="minorHAnsi" w:eastAsiaTheme="minorEastAsia" w:hAnsiTheme="minorHAnsi" w:cstheme="minorBidi"/>
                <w:kern w:val="2"/>
                <w14:ligatures w14:val="standardContextual"/>
              </w:rPr>
            </w:pPr>
            <w:r>
              <w:t>Heidi Kandiel</w:t>
            </w:r>
          </w:p>
        </w:tc>
        <w:tc>
          <w:tcPr>
            <w:tcW w:w="1780" w:type="dxa"/>
          </w:tcPr>
          <w:p w14:paraId="6A73F929" w14:textId="33CF3CBA" w:rsidR="00723EAA" w:rsidRDefault="00723EAA" w:rsidP="00723EAA">
            <w:r>
              <w:t>The International Committee of the Red Cross (ICRC)</w:t>
            </w:r>
          </w:p>
          <w:p w14:paraId="7E2A961F" w14:textId="77777777" w:rsidR="00723EAA" w:rsidRDefault="00723EAA" w:rsidP="00723EAA">
            <w:r>
              <w:t>Senior Advisor Department of International Law and Policy</w:t>
            </w:r>
            <w:r>
              <w:br/>
            </w:r>
          </w:p>
          <w:p w14:paraId="527C3293" w14:textId="42CE299C" w:rsidR="00723EAA" w:rsidRPr="006D11A7" w:rsidRDefault="00723EAA" w:rsidP="00723EAA">
            <w:pPr>
              <w:rPr>
                <w:rFonts w:asciiTheme="minorHAnsi" w:eastAsiaTheme="minorEastAsia" w:hAnsiTheme="minorHAnsi" w:cstheme="minorBidi"/>
                <w:kern w:val="2"/>
                <w14:ligatures w14:val="standardContextual"/>
              </w:rPr>
            </w:pPr>
            <w:r>
              <w:t>(ICRC)</w:t>
            </w:r>
          </w:p>
        </w:tc>
        <w:tc>
          <w:tcPr>
            <w:tcW w:w="4511" w:type="dxa"/>
          </w:tcPr>
          <w:p w14:paraId="7A1F135F" w14:textId="77777777" w:rsidR="00723EAA" w:rsidRPr="00771425" w:rsidRDefault="00723EAA" w:rsidP="00723EAA">
            <w:r>
              <w:t>The ICRC has been the most prominent institutional voice arguing that existing international humanitarian law is insufficient to govern autonomous weapons. Their legal analysis of where AI-enabled weapons fall outside current frameworks is critical for Block 3.</w:t>
            </w:r>
          </w:p>
          <w:p w14:paraId="01AD07B9" w14:textId="77777777" w:rsidR="00723EAA" w:rsidRPr="006D11A7" w:rsidRDefault="00723EAA" w:rsidP="00723EAA">
            <w:pPr>
              <w:rPr>
                <w:rFonts w:asciiTheme="minorHAnsi" w:eastAsiaTheme="minorEastAsia" w:hAnsiTheme="minorHAnsi" w:cstheme="minorBidi"/>
                <w:kern w:val="2"/>
                <w14:ligatures w14:val="standardContextual"/>
              </w:rPr>
            </w:pPr>
          </w:p>
        </w:tc>
        <w:tc>
          <w:tcPr>
            <w:tcW w:w="3760" w:type="dxa"/>
          </w:tcPr>
          <w:p w14:paraId="4EDE5612" w14:textId="07FFEA89" w:rsidR="00723EAA" w:rsidRDefault="00723EAA" w:rsidP="00723EAA">
            <w:pPr>
              <w:rPr>
                <w:rFonts w:asciiTheme="minorHAnsi" w:eastAsiaTheme="minorEastAsia" w:hAnsiTheme="minorHAnsi" w:cstheme="minorBidi"/>
                <w:kern w:val="2"/>
                <w14:ligatures w14:val="standardContextual"/>
              </w:rPr>
            </w:pPr>
            <w:hyperlink r:id="rId12" w:history="1">
              <w:r w:rsidRPr="00B368AB">
                <w:rPr>
                  <w:rStyle w:val="Hyperlink"/>
                  <w:rFonts w:asciiTheme="minorHAnsi" w:eastAsiaTheme="minorEastAsia" w:hAnsiTheme="minorHAnsi" w:cstheme="minorBidi"/>
                  <w:kern w:val="2"/>
                  <w14:ligatures w14:val="standardContextual"/>
                </w:rPr>
                <w:t>webmaster@icrc.org</w:t>
              </w:r>
            </w:hyperlink>
          </w:p>
          <w:p w14:paraId="3B60FA78" w14:textId="77777777" w:rsidR="00723EAA" w:rsidRDefault="00723EAA" w:rsidP="00723EAA">
            <w:pPr>
              <w:rPr>
                <w:rFonts w:asciiTheme="minorHAnsi" w:eastAsiaTheme="minorEastAsia" w:hAnsiTheme="minorHAnsi" w:cstheme="minorBidi"/>
                <w:kern w:val="2"/>
                <w14:ligatures w14:val="standardContextual"/>
              </w:rPr>
            </w:pPr>
          </w:p>
          <w:p w14:paraId="4601465E" w14:textId="77777777" w:rsidR="00723EAA" w:rsidRDefault="00723EAA" w:rsidP="00723EAA">
            <w:pPr>
              <w:rPr>
                <w:rFonts w:asciiTheme="minorHAnsi" w:eastAsiaTheme="minorEastAsia" w:hAnsiTheme="minorHAnsi" w:cstheme="minorBidi"/>
                <w:kern w:val="2"/>
                <w14:ligatures w14:val="standardContextual"/>
              </w:rPr>
            </w:pPr>
          </w:p>
          <w:p w14:paraId="660E0146" w14:textId="1FB4DC86" w:rsidR="00723EAA" w:rsidRPr="006D11A7" w:rsidRDefault="00723EAA" w:rsidP="00723EAA">
            <w:pPr>
              <w:rPr>
                <w:rFonts w:asciiTheme="minorHAnsi" w:eastAsiaTheme="minorEastAsia" w:hAnsiTheme="minorHAnsi" w:cstheme="minorBidi"/>
                <w:kern w:val="2"/>
                <w14:ligatures w14:val="standardContextual"/>
              </w:rPr>
            </w:pPr>
            <w:r>
              <w:rPr>
                <w:rFonts w:asciiTheme="minorHAnsi" w:eastAsiaTheme="minorEastAsia" w:hAnsiTheme="minorHAnsi" w:cstheme="minorBidi"/>
                <w:kern w:val="2"/>
                <w14:ligatures w14:val="standardContextual"/>
              </w:rPr>
              <w:t>(</w:t>
            </w:r>
            <w:proofErr w:type="gramStart"/>
            <w:r>
              <w:rPr>
                <w:rFonts w:asciiTheme="minorHAnsi" w:eastAsiaTheme="minorEastAsia" w:hAnsiTheme="minorHAnsi" w:cstheme="minorBidi"/>
                <w:kern w:val="2"/>
                <w14:ligatures w14:val="standardContextual"/>
              </w:rPr>
              <w:t>do</w:t>
            </w:r>
            <w:proofErr w:type="gramEnd"/>
            <w:r>
              <w:rPr>
                <w:rFonts w:asciiTheme="minorHAnsi" w:eastAsiaTheme="minorEastAsia" w:hAnsiTheme="minorHAnsi" w:cstheme="minorBidi"/>
                <w:kern w:val="2"/>
                <w14:ligatures w14:val="standardContextual"/>
              </w:rPr>
              <w:t xml:space="preserve"> not have her personal email.  Will try to track it down)</w:t>
            </w:r>
          </w:p>
        </w:tc>
      </w:tr>
      <w:tr w:rsidR="00723EAA" w:rsidRPr="006D11A7" w14:paraId="7AFB8705" w14:textId="77777777" w:rsidTr="00723EAA">
        <w:tc>
          <w:tcPr>
            <w:tcW w:w="1502" w:type="dxa"/>
          </w:tcPr>
          <w:p w14:paraId="40CB5C45" w14:textId="295CA3B0" w:rsidR="00723EAA" w:rsidRPr="006D11A7" w:rsidRDefault="00723EAA" w:rsidP="00723EAA">
            <w:pPr>
              <w:rPr>
                <w:rFonts w:asciiTheme="minorHAnsi" w:eastAsiaTheme="minorEastAsia" w:hAnsiTheme="minorHAnsi" w:cstheme="minorBidi"/>
                <w:kern w:val="2"/>
                <w14:ligatures w14:val="standardContextual"/>
              </w:rPr>
            </w:pPr>
            <w:r>
              <w:t>Dr. Abdinasir Abubakar</w:t>
            </w:r>
          </w:p>
        </w:tc>
        <w:tc>
          <w:tcPr>
            <w:tcW w:w="1780" w:type="dxa"/>
          </w:tcPr>
          <w:p w14:paraId="549F993C" w14:textId="62004FE2" w:rsidR="00723EAA" w:rsidRPr="006D11A7" w:rsidRDefault="00723EAA" w:rsidP="00723EAA">
            <w:pPr>
              <w:rPr>
                <w:rFonts w:asciiTheme="minorHAnsi" w:eastAsiaTheme="minorEastAsia" w:hAnsiTheme="minorHAnsi" w:cstheme="minorBidi"/>
                <w:kern w:val="2"/>
                <w14:ligatures w14:val="standardContextual"/>
              </w:rPr>
            </w:pPr>
            <w:r>
              <w:t>Somali WHO Representative in Sudan</w:t>
            </w:r>
          </w:p>
        </w:tc>
        <w:tc>
          <w:tcPr>
            <w:tcW w:w="4511" w:type="dxa"/>
          </w:tcPr>
          <w:p w14:paraId="410583BE" w14:textId="77777777" w:rsidR="00723EAA" w:rsidRDefault="00723EAA" w:rsidP="00723EAA">
            <w:r>
              <w:t>Has experience in South Sudan, Lebanon and now Sudan.</w:t>
            </w:r>
          </w:p>
          <w:p w14:paraId="09C6684B" w14:textId="0B9BE66B" w:rsidR="00723EAA" w:rsidRPr="006D11A7" w:rsidRDefault="00723EAA" w:rsidP="00723EAA">
            <w:pPr>
              <w:rPr>
                <w:rFonts w:asciiTheme="minorHAnsi" w:eastAsiaTheme="minorEastAsia" w:hAnsiTheme="minorHAnsi" w:cstheme="minorBidi"/>
                <w:kern w:val="2"/>
                <w14:ligatures w14:val="standardContextual"/>
              </w:rPr>
            </w:pPr>
            <w:r>
              <w:t>https://lb.linkedin.com/abdinasir-abubakar-1bb59596</w:t>
            </w:r>
          </w:p>
        </w:tc>
        <w:tc>
          <w:tcPr>
            <w:tcW w:w="3760" w:type="dxa"/>
          </w:tcPr>
          <w:p w14:paraId="1B9BC264" w14:textId="506ADF62" w:rsidR="00723EAA" w:rsidRPr="006D11A7" w:rsidRDefault="00723EAA" w:rsidP="00723EAA">
            <w:pPr>
              <w:rPr>
                <w:rFonts w:asciiTheme="minorHAnsi" w:eastAsiaTheme="minorEastAsia" w:hAnsiTheme="minorHAnsi" w:cstheme="minorBidi"/>
                <w:kern w:val="2"/>
                <w14:ligatures w14:val="standardContextual"/>
              </w:rPr>
            </w:pPr>
            <w:r>
              <w:rPr>
                <w:rFonts w:asciiTheme="minorHAnsi" w:eastAsiaTheme="minorEastAsia" w:hAnsiTheme="minorHAnsi" w:cstheme="minorBidi"/>
                <w:kern w:val="2"/>
                <w14:ligatures w14:val="standardContextual"/>
              </w:rPr>
              <w:t>Requested his email.  Will forward</w:t>
            </w:r>
          </w:p>
        </w:tc>
      </w:tr>
    </w:tbl>
    <w:p w14:paraId="7AA56390" w14:textId="77777777" w:rsidR="006D11A7" w:rsidRDefault="006D11A7" w:rsidP="00771425"/>
    <w:p w14:paraId="58A33AD7" w14:textId="77777777" w:rsidR="006D11A7" w:rsidRDefault="006D11A7" w:rsidP="00771425"/>
    <w:p w14:paraId="0E1BC98B" w14:textId="77777777" w:rsidR="006D11A7" w:rsidRDefault="006D11A7" w:rsidP="00771425"/>
    <w:p w14:paraId="2D6FB7CF" w14:textId="77777777" w:rsidR="009F3294" w:rsidRDefault="009F3294" w:rsidP="00771425"/>
    <w:p w14:paraId="7DEAE646" w14:textId="77777777" w:rsidR="006D11A7" w:rsidRDefault="006D11A7" w:rsidP="00771425"/>
    <w:p w14:paraId="5110C7D7" w14:textId="77777777" w:rsidR="006D11A7" w:rsidRDefault="006D11A7" w:rsidP="00771425"/>
    <w:p w14:paraId="2BE8B034" w14:textId="77777777" w:rsidR="006D11A7" w:rsidRDefault="006D11A7" w:rsidP="00771425"/>
    <w:p w14:paraId="109DB56B" w14:textId="77777777" w:rsidR="006D11A7" w:rsidRDefault="006D11A7" w:rsidP="00771425"/>
    <w:p w14:paraId="3DEF309E" w14:textId="77777777" w:rsidR="006D11A7" w:rsidRDefault="006D11A7" w:rsidP="00771425"/>
    <w:p w14:paraId="68B626F2" w14:textId="77777777" w:rsidR="006D11A7" w:rsidRDefault="006D11A7" w:rsidP="00771425"/>
    <w:p w14:paraId="536F251E" w14:textId="77777777" w:rsidR="006D11A7" w:rsidRDefault="006D11A7" w:rsidP="00771425"/>
    <w:p w14:paraId="3100F37A" w14:textId="77777777" w:rsidR="006D11A7" w:rsidRDefault="006D11A7" w:rsidP="00771425"/>
    <w:sectPr w:rsidR="006D11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6716F4"/>
    <w:multiLevelType w:val="hybridMultilevel"/>
    <w:tmpl w:val="A432B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DE21E9"/>
    <w:multiLevelType w:val="hybridMultilevel"/>
    <w:tmpl w:val="29F89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7059302">
    <w:abstractNumId w:val="1"/>
  </w:num>
  <w:num w:numId="2" w16cid:durableId="1523208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8"/>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C96"/>
    <w:rsid w:val="00005345"/>
    <w:rsid w:val="00016F56"/>
    <w:rsid w:val="0003663A"/>
    <w:rsid w:val="00047AD7"/>
    <w:rsid w:val="00061C96"/>
    <w:rsid w:val="00083B95"/>
    <w:rsid w:val="000A71DD"/>
    <w:rsid w:val="000C07D5"/>
    <w:rsid w:val="000C60FB"/>
    <w:rsid w:val="00106EA4"/>
    <w:rsid w:val="001145E1"/>
    <w:rsid w:val="00146230"/>
    <w:rsid w:val="001514F4"/>
    <w:rsid w:val="0017082C"/>
    <w:rsid w:val="0017333E"/>
    <w:rsid w:val="001A216F"/>
    <w:rsid w:val="001C2443"/>
    <w:rsid w:val="001C599C"/>
    <w:rsid w:val="001E0869"/>
    <w:rsid w:val="001E3AD9"/>
    <w:rsid w:val="002052DC"/>
    <w:rsid w:val="00220F03"/>
    <w:rsid w:val="00240637"/>
    <w:rsid w:val="002453E0"/>
    <w:rsid w:val="00247F20"/>
    <w:rsid w:val="0025203C"/>
    <w:rsid w:val="00271BF4"/>
    <w:rsid w:val="00291A10"/>
    <w:rsid w:val="00294540"/>
    <w:rsid w:val="002A7428"/>
    <w:rsid w:val="002B02DB"/>
    <w:rsid w:val="002E7D9D"/>
    <w:rsid w:val="002F4353"/>
    <w:rsid w:val="00301CCC"/>
    <w:rsid w:val="0037604B"/>
    <w:rsid w:val="003A07D0"/>
    <w:rsid w:val="003A1D84"/>
    <w:rsid w:val="003A215D"/>
    <w:rsid w:val="003A35A0"/>
    <w:rsid w:val="003C2750"/>
    <w:rsid w:val="003C3482"/>
    <w:rsid w:val="003D02D5"/>
    <w:rsid w:val="003D305D"/>
    <w:rsid w:val="004055D0"/>
    <w:rsid w:val="004067CE"/>
    <w:rsid w:val="00433639"/>
    <w:rsid w:val="0044291F"/>
    <w:rsid w:val="00444C3F"/>
    <w:rsid w:val="004A0BB7"/>
    <w:rsid w:val="004B0DDE"/>
    <w:rsid w:val="004B37E6"/>
    <w:rsid w:val="0050508B"/>
    <w:rsid w:val="00554C96"/>
    <w:rsid w:val="00573CB0"/>
    <w:rsid w:val="00585FF3"/>
    <w:rsid w:val="00596E99"/>
    <w:rsid w:val="005E429C"/>
    <w:rsid w:val="0061665B"/>
    <w:rsid w:val="00624338"/>
    <w:rsid w:val="00632CB0"/>
    <w:rsid w:val="00660389"/>
    <w:rsid w:val="00665C53"/>
    <w:rsid w:val="006757FA"/>
    <w:rsid w:val="006B0320"/>
    <w:rsid w:val="006D11A7"/>
    <w:rsid w:val="006F00CB"/>
    <w:rsid w:val="00722E62"/>
    <w:rsid w:val="00723EAA"/>
    <w:rsid w:val="0076348F"/>
    <w:rsid w:val="007652B5"/>
    <w:rsid w:val="00771425"/>
    <w:rsid w:val="0077601F"/>
    <w:rsid w:val="007D4D2A"/>
    <w:rsid w:val="007E1D7C"/>
    <w:rsid w:val="008353A9"/>
    <w:rsid w:val="00840077"/>
    <w:rsid w:val="008426D5"/>
    <w:rsid w:val="00843802"/>
    <w:rsid w:val="008A365F"/>
    <w:rsid w:val="008A4B68"/>
    <w:rsid w:val="008A5E53"/>
    <w:rsid w:val="008C125E"/>
    <w:rsid w:val="008C5D8E"/>
    <w:rsid w:val="008D1CE1"/>
    <w:rsid w:val="008F6470"/>
    <w:rsid w:val="00904BEE"/>
    <w:rsid w:val="009131D6"/>
    <w:rsid w:val="009817CC"/>
    <w:rsid w:val="009854A5"/>
    <w:rsid w:val="009A0288"/>
    <w:rsid w:val="009C1C10"/>
    <w:rsid w:val="009C5CDF"/>
    <w:rsid w:val="009F3294"/>
    <w:rsid w:val="00A31505"/>
    <w:rsid w:val="00A71316"/>
    <w:rsid w:val="00A9005C"/>
    <w:rsid w:val="00A935B7"/>
    <w:rsid w:val="00A95311"/>
    <w:rsid w:val="00AA02C7"/>
    <w:rsid w:val="00AA223B"/>
    <w:rsid w:val="00AD4084"/>
    <w:rsid w:val="00B11EFF"/>
    <w:rsid w:val="00B237EB"/>
    <w:rsid w:val="00B606BF"/>
    <w:rsid w:val="00B83E5F"/>
    <w:rsid w:val="00BC6BA7"/>
    <w:rsid w:val="00BF1521"/>
    <w:rsid w:val="00C51F5D"/>
    <w:rsid w:val="00C55C90"/>
    <w:rsid w:val="00C77A21"/>
    <w:rsid w:val="00C94037"/>
    <w:rsid w:val="00CB056F"/>
    <w:rsid w:val="00CC7F3A"/>
    <w:rsid w:val="00CD7EA6"/>
    <w:rsid w:val="00D502F8"/>
    <w:rsid w:val="00D52659"/>
    <w:rsid w:val="00D80BE1"/>
    <w:rsid w:val="00D87D1D"/>
    <w:rsid w:val="00DA224B"/>
    <w:rsid w:val="00DC03AD"/>
    <w:rsid w:val="00DC2E07"/>
    <w:rsid w:val="00DC55B4"/>
    <w:rsid w:val="00DC6272"/>
    <w:rsid w:val="00E20806"/>
    <w:rsid w:val="00E24384"/>
    <w:rsid w:val="00E24891"/>
    <w:rsid w:val="00E439CB"/>
    <w:rsid w:val="00E6148B"/>
    <w:rsid w:val="00E7457D"/>
    <w:rsid w:val="00E9020E"/>
    <w:rsid w:val="00EB3341"/>
    <w:rsid w:val="00EC2237"/>
    <w:rsid w:val="00ED25FE"/>
    <w:rsid w:val="00EE07FB"/>
    <w:rsid w:val="00F01083"/>
    <w:rsid w:val="00F27A60"/>
    <w:rsid w:val="00F649BA"/>
    <w:rsid w:val="00F80DB4"/>
    <w:rsid w:val="00F92A6D"/>
    <w:rsid w:val="00FA27E5"/>
    <w:rsid w:val="00FE4077"/>
    <w:rsid w:val="00FE442B"/>
    <w:rsid w:val="00FE72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3662B"/>
  <w15:chartTrackingRefBased/>
  <w15:docId w15:val="{00F1E145-D7AA-47FD-97B2-59E92639A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C96"/>
    <w:pPr>
      <w:spacing w:after="0" w:line="240" w:lineRule="auto"/>
    </w:pPr>
    <w:rPr>
      <w:rFonts w:ascii="Aptos" w:hAnsi="Aptos" w:cs="Aptos"/>
      <w:kern w:val="0"/>
      <w14:ligatures w14:val="none"/>
    </w:rPr>
  </w:style>
  <w:style w:type="paragraph" w:styleId="Heading1">
    <w:name w:val="heading 1"/>
    <w:basedOn w:val="Normal"/>
    <w:next w:val="Normal"/>
    <w:link w:val="Heading1Char"/>
    <w:uiPriority w:val="9"/>
    <w:qFormat/>
    <w:rsid w:val="00554C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4C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4C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4C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4C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4C9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4C9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4C9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4C9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C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4C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4C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4C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4C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4C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4C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4C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4C96"/>
    <w:rPr>
      <w:rFonts w:eastAsiaTheme="majorEastAsia" w:cstheme="majorBidi"/>
      <w:color w:val="272727" w:themeColor="text1" w:themeTint="D8"/>
    </w:rPr>
  </w:style>
  <w:style w:type="paragraph" w:styleId="Title">
    <w:name w:val="Title"/>
    <w:basedOn w:val="Normal"/>
    <w:next w:val="Normal"/>
    <w:link w:val="TitleChar"/>
    <w:uiPriority w:val="10"/>
    <w:qFormat/>
    <w:rsid w:val="00554C9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4C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4C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4C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4C96"/>
    <w:pPr>
      <w:spacing w:before="160"/>
      <w:jc w:val="center"/>
    </w:pPr>
    <w:rPr>
      <w:i/>
      <w:iCs/>
      <w:color w:val="404040" w:themeColor="text1" w:themeTint="BF"/>
    </w:rPr>
  </w:style>
  <w:style w:type="character" w:customStyle="1" w:styleId="QuoteChar">
    <w:name w:val="Quote Char"/>
    <w:basedOn w:val="DefaultParagraphFont"/>
    <w:link w:val="Quote"/>
    <w:uiPriority w:val="29"/>
    <w:rsid w:val="00554C96"/>
    <w:rPr>
      <w:i/>
      <w:iCs/>
      <w:color w:val="404040" w:themeColor="text1" w:themeTint="BF"/>
    </w:rPr>
  </w:style>
  <w:style w:type="paragraph" w:styleId="ListParagraph">
    <w:name w:val="List Paragraph"/>
    <w:basedOn w:val="Normal"/>
    <w:uiPriority w:val="34"/>
    <w:qFormat/>
    <w:rsid w:val="00554C96"/>
    <w:pPr>
      <w:ind w:left="720"/>
      <w:contextualSpacing/>
    </w:pPr>
  </w:style>
  <w:style w:type="character" w:styleId="IntenseEmphasis">
    <w:name w:val="Intense Emphasis"/>
    <w:basedOn w:val="DefaultParagraphFont"/>
    <w:uiPriority w:val="21"/>
    <w:qFormat/>
    <w:rsid w:val="00554C96"/>
    <w:rPr>
      <w:i/>
      <w:iCs/>
      <w:color w:val="0F4761" w:themeColor="accent1" w:themeShade="BF"/>
    </w:rPr>
  </w:style>
  <w:style w:type="paragraph" w:styleId="IntenseQuote">
    <w:name w:val="Intense Quote"/>
    <w:basedOn w:val="Normal"/>
    <w:next w:val="Normal"/>
    <w:link w:val="IntenseQuoteChar"/>
    <w:uiPriority w:val="30"/>
    <w:qFormat/>
    <w:rsid w:val="00554C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4C96"/>
    <w:rPr>
      <w:i/>
      <w:iCs/>
      <w:color w:val="0F4761" w:themeColor="accent1" w:themeShade="BF"/>
    </w:rPr>
  </w:style>
  <w:style w:type="character" w:styleId="IntenseReference">
    <w:name w:val="Intense Reference"/>
    <w:basedOn w:val="DefaultParagraphFont"/>
    <w:uiPriority w:val="32"/>
    <w:qFormat/>
    <w:rsid w:val="00554C96"/>
    <w:rPr>
      <w:b/>
      <w:bCs/>
      <w:smallCaps/>
      <w:color w:val="0F4761" w:themeColor="accent1" w:themeShade="BF"/>
      <w:spacing w:val="5"/>
    </w:rPr>
  </w:style>
  <w:style w:type="character" w:styleId="Hyperlink">
    <w:name w:val="Hyperlink"/>
    <w:basedOn w:val="DefaultParagraphFont"/>
    <w:uiPriority w:val="99"/>
    <w:unhideWhenUsed/>
    <w:rsid w:val="00F649BA"/>
    <w:rPr>
      <w:color w:val="0000FF"/>
      <w:u w:val="single"/>
    </w:rPr>
  </w:style>
  <w:style w:type="character" w:styleId="FollowedHyperlink">
    <w:name w:val="FollowedHyperlink"/>
    <w:basedOn w:val="DefaultParagraphFont"/>
    <w:uiPriority w:val="99"/>
    <w:semiHidden/>
    <w:unhideWhenUsed/>
    <w:rsid w:val="00061C96"/>
    <w:rPr>
      <w:color w:val="96607D" w:themeColor="followedHyperlink"/>
      <w:u w:val="single"/>
    </w:rPr>
  </w:style>
  <w:style w:type="character" w:styleId="UnresolvedMention">
    <w:name w:val="Unresolved Mention"/>
    <w:basedOn w:val="DefaultParagraphFont"/>
    <w:uiPriority w:val="99"/>
    <w:semiHidden/>
    <w:unhideWhenUsed/>
    <w:rsid w:val="006B0320"/>
    <w:rPr>
      <w:color w:val="605E5C"/>
      <w:shd w:val="clear" w:color="auto" w:fill="E1DFDD"/>
    </w:rPr>
  </w:style>
  <w:style w:type="table" w:styleId="TableGrid">
    <w:name w:val="Table Grid"/>
    <w:basedOn w:val="TableNormal"/>
    <w:uiPriority w:val="39"/>
    <w:rsid w:val="006D11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m.haggag@sipri.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ipri.org/about/bios/karim-haggag" TargetMode="External"/><Relationship Id="rId12" Type="http://schemas.openxmlformats.org/officeDocument/2006/relationships/hyperlink" Target="mailto:webmaster@icrc.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ason.maani@ed.ac.uk" TargetMode="External"/><Relationship Id="rId11" Type="http://schemas.openxmlformats.org/officeDocument/2006/relationships/hyperlink" Target="mailto:Karim.haggag@sipri.org" TargetMode="External"/><Relationship Id="rId5" Type="http://schemas.openxmlformats.org/officeDocument/2006/relationships/hyperlink" Target="https://share.google/ZqJofQTQgJZzA3XmV" TargetMode="External"/><Relationship Id="rId10" Type="http://schemas.openxmlformats.org/officeDocument/2006/relationships/hyperlink" Target="https://www.sipri.org/about/bios/karim-haggag" TargetMode="External"/><Relationship Id="rId4" Type="http://schemas.openxmlformats.org/officeDocument/2006/relationships/webSettings" Target="webSettings.xml"/><Relationship Id="rId9" Type="http://schemas.openxmlformats.org/officeDocument/2006/relationships/hyperlink" Target="mailto:Jm04@aub.ed.lb"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1442</Words>
  <Characters>9191</Characters>
  <Application>Microsoft Office Word</Application>
  <DocSecurity>0</DocSecurity>
  <Lines>707</Lines>
  <Paragraphs>189</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
  <LinksUpToDate>false</LinksUpToDate>
  <CharactersWithSpaces>10444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Carroll</dc:creator>
  <cp:keywords/>
  <dc:description/>
  <cp:lastModifiedBy>Dennis Carroll</cp:lastModifiedBy>
  <cp:revision>2</cp:revision>
  <dcterms:created xsi:type="dcterms:W3CDTF">2026-07-19T19:43:00Z</dcterms:created>
  <dcterms:modified xsi:type="dcterms:W3CDTF">2026-07-19T19:43:00Z</dcterms:modified>
</cp:coreProperties>
</file>